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Tri-M Report 4/23/2022</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Chapters are slowly starting to grow in numbers. Which I think is due to the easing of COVID restrictions throughout the state.  I hope that this number continues to grow and we continue to support Tri-M in our state.  I would like to find a way in the future to encourage people to activate their chapters earlier in the school year, ideally before the conference. Possibly by offering some sort of incentive. It would make it much easier for us to determine if our efforts to boost Tri-M in Missouri is successful. This would also help me in contacting lapsed chapters and getting them to become active again. Right now that is more difficult because chapters can activate at any time between July 1st and June 30th each year.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08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90.8860759493668"/>
        <w:gridCol w:w="1804.5569620253164"/>
        <w:gridCol w:w="1804.5569620253164"/>
        <w:gridCol w:w="1804.5569620253164"/>
        <w:gridCol w:w="1790.8860759493668"/>
        <w:gridCol w:w="1804.5569620253164"/>
        <w:tblGridChange w:id="0">
          <w:tblGrid>
            <w:gridCol w:w="1790.8860759493668"/>
            <w:gridCol w:w="1804.5569620253164"/>
            <w:gridCol w:w="1804.5569620253164"/>
            <w:gridCol w:w="1804.5569620253164"/>
            <w:gridCol w:w="1790.8860759493668"/>
            <w:gridCol w:w="1804.5569620253164"/>
          </w:tblGrid>
        </w:tblGridChange>
      </w:tblGrid>
      <w:tr>
        <w:trPr>
          <w:cantSplit w:val="0"/>
          <w:trHeight w:val="630"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06">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2021-2022</w:t>
            </w:r>
          </w:p>
          <w:p w:rsidR="00000000" w:rsidDel="00000000" w:rsidP="00000000" w:rsidRDefault="00000000" w:rsidRPr="00000000" w14:paraId="00000007">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26 chapters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8">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2020-2021</w:t>
            </w:r>
          </w:p>
          <w:p w:rsidR="00000000" w:rsidDel="00000000" w:rsidP="00000000" w:rsidRDefault="00000000" w:rsidRPr="00000000" w14:paraId="00000009">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13 Chapters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2019-2020</w:t>
            </w:r>
          </w:p>
          <w:p w:rsidR="00000000" w:rsidDel="00000000" w:rsidP="00000000" w:rsidRDefault="00000000" w:rsidRPr="00000000" w14:paraId="0000000B">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28 Chapters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2018-2019</w:t>
            </w:r>
          </w:p>
          <w:p w:rsidR="00000000" w:rsidDel="00000000" w:rsidP="00000000" w:rsidRDefault="00000000" w:rsidRPr="00000000" w14:paraId="0000000D">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42 Chapters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2017-2018</w:t>
            </w:r>
          </w:p>
          <w:p w:rsidR="00000000" w:rsidDel="00000000" w:rsidP="00000000" w:rsidRDefault="00000000" w:rsidRPr="00000000" w14:paraId="0000000F">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41 Chapters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2016-2017</w:t>
            </w:r>
          </w:p>
          <w:p w:rsidR="00000000" w:rsidDel="00000000" w:rsidP="00000000" w:rsidRDefault="00000000" w:rsidRPr="00000000" w14:paraId="00000011">
            <w:pPr>
              <w:widowControl w:val="0"/>
              <w:jc w:val="center"/>
              <w:rPr>
                <w:sz w:val="20"/>
                <w:szCs w:val="20"/>
              </w:rPr>
            </w:pPr>
            <w:r w:rsidDel="00000000" w:rsidR="00000000" w:rsidRPr="00000000">
              <w:rPr>
                <w:rFonts w:ascii="Times New Roman" w:cs="Times New Roman" w:eastAsia="Times New Roman" w:hAnsi="Times New Roman"/>
                <w:b w:val="1"/>
                <w:sz w:val="24"/>
                <w:szCs w:val="24"/>
                <w:rtl w:val="0"/>
              </w:rPr>
              <w:t xml:space="preserve">39 Chapters</w:t>
            </w:r>
            <w:r w:rsidDel="00000000" w:rsidR="00000000" w:rsidRPr="00000000">
              <w:rPr>
                <w:rtl w:val="0"/>
              </w:rPr>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Ava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Ava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Ava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Ava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Ava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Ava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California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David H Hickman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Battle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Billings R-IV School District</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Bohemia Manor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Bohemia Manor 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Chaminade College Preparatory</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Father Tolton Catholic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Bradleyville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Bismarck R-5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California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California 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2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David H Hickman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Jefferson High School (MO)</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California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Boonville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Chaminade College Preparatory</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Chaminade College Preparatory</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2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Father Tolton Catholic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Kirkwood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Central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Bradleyville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Clearwater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Clayton 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3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Gateway Science Academy of Saint Louis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Lincoln College Prep</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Chaminade College Preparatory</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California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Clearwater Middle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Clearwater 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3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Grand Center Arts Academy</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Lindbergh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Father Tolton Catholic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Central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El Dorado Springs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Clearwater Middle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3C">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Hazelwood West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Notre Dame de Sion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Fort Zumwalt West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Chaminade College Preparatory</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Father Tolton Catholic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Cole County R-1 Middle/High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Hillcrest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Notre Dame Regional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Hazelwood West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De Soto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Fort Zumwalt West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Fort Zumwalt East 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Kirksville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Platte County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Helias Catholic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Father Tolton Catholic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Gateway Science Academy of Saint Louis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Fort Zumwalt West 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Kirkwood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Rock Bridge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Jefferson City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Gateway Science Academy of Saint Louis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Hazelwood Central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Fox 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Lee's Summit West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St. John Vianney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Jefferson High School (MO)</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Hazelwood Central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Hazelwood West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Galena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Lindbergh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Wydown Middle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Lafayette High School (MO)</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Hazelwood West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Helias Catholic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Hazelwood Central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Mount Vernon R5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Lange Middle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Jefferson City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Jefferson City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Hazelwood West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Notre Dame de Sion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Lindbergh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Jefferson High School (MO)</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Jefferson High School (MO)</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Helias Catholic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Notre Dame Regional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Morgan County R-1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Joplin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Jennings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Jefferson City 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 Hill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New Covenant Academy</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Ladue Horton Watkins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Ladue Horton Watkins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Jefferson High School (MO)</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 Hill South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New Madrid County Central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Lafayette High School (MO)</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Lee's Summit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Lindbergh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Parkway Central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Normandy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Lakeland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Lindbergh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Linn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Platte County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Notre Dame de Sion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Lindbergh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Linn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Monett 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Raymore-Peculiar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Notre Dame Regional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Linn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McCluer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New Madrid County Central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Rock Bridge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 Hill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Monett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New Covenant Academy</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Notre Dame de Sion 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South Middle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Platte County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Morgan County R-1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New Madrid County Central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Notre Dame Regional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St. James R-I Schools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Raymore-Peculiar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New Covenant Academy</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Notre Dame de Sion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Oakville 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University City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Rock Bridge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Normandy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Notre Dame Regional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 Hill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Wydown Middle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Smith-Cotton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Notre Dame de Sion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Oakville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 Hill South High School</w:t>
            </w:r>
            <w:r w:rsidDel="00000000" w:rsidR="00000000" w:rsidRPr="00000000">
              <w:rPr>
                <w:rtl w:val="0"/>
              </w:rPr>
            </w:r>
          </w:p>
        </w:tc>
      </w:tr>
      <w:tr>
        <w:trPr>
          <w:cantSplit w:val="0"/>
          <w:trHeight w:val="91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Sturgeon R-V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Notre Dame Regional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 Hill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Parkview High School (MO)</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Westminster Christian Academy</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Oakville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 Hill South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Platte County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 Hill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Parkview High School (MO)</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Reeds Spring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 Hill South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Parkway Central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Salisbury R-IV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Parkview High School (MO)</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Platte County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Seymour High School (MO)</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Parkway Central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Raymore-Peculiar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Smith-Cotton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Platte County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Reeds Spring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Sturgeon R-V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Rock Bridge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Ritenour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The Barstow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Seneca High</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Rock Bridge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Tolton Catholic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Smith-Cotton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Salisbury R-IV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Webster Groves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Stockton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Seckman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Wheaton R-III Schools</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Sturgeon R-V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Smith-Cotton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Windsor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Thayer R-11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St John Vianney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Worth County R-III High School</w:t>
            </w: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Webster Groves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Sturgeon R-V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rPr>
                <w:sz w:val="20"/>
                <w:szCs w:val="20"/>
              </w:rPr>
            </w:pP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Wheaton R-III Schools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Wheaton R-III Schools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rPr>
                <w:sz w:val="20"/>
                <w:szCs w:val="20"/>
              </w:rPr>
            </w:pPr>
            <w:r w:rsidDel="00000000" w:rsidR="00000000" w:rsidRPr="00000000">
              <w:rPr>
                <w:rtl w:val="0"/>
              </w:rPr>
            </w:r>
          </w:p>
        </w:tc>
      </w:tr>
      <w:tr>
        <w:trPr>
          <w:cantSplit w:val="0"/>
          <w:trHeight w:val="63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jc w:val="center"/>
              <w:rPr>
                <w:sz w:val="20"/>
                <w:szCs w:val="20"/>
              </w:rPr>
            </w:pPr>
            <w:r w:rsidDel="00000000" w:rsidR="00000000" w:rsidRPr="00000000">
              <w:rPr>
                <w:rFonts w:ascii="Times New Roman" w:cs="Times New Roman" w:eastAsia="Times New Roman" w:hAnsi="Times New Roman"/>
                <w:sz w:val="24"/>
                <w:szCs w:val="24"/>
                <w:rtl w:val="0"/>
              </w:rPr>
              <w:t xml:space="preserve">Worth County R-III High School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rPr>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rPr>
                <w:sz w:val="20"/>
                <w:szCs w:val="20"/>
              </w:rPr>
            </w:pPr>
            <w:r w:rsidDel="00000000" w:rsidR="00000000" w:rsidRPr="00000000">
              <w:rPr>
                <w:rtl w:val="0"/>
              </w:rPr>
            </w:r>
          </w:p>
        </w:tc>
      </w:tr>
    </w:tbl>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Tri-M Summit: </w:t>
      </w:r>
    </w:p>
    <w:p w:rsidR="00000000" w:rsidDel="00000000" w:rsidP="00000000" w:rsidRDefault="00000000" w:rsidRPr="00000000" w14:paraId="00000118">
      <w:pPr>
        <w:rPr/>
      </w:pPr>
      <w:r w:rsidDel="00000000" w:rsidR="00000000" w:rsidRPr="00000000">
        <w:rPr>
          <w:rtl w:val="0"/>
        </w:rPr>
        <w:t xml:space="preserve">We were unfortunately not able to have a Tri-M Summit again this year, but hope to bring the event back for next school year.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The Missouri Tri-M Summit has been a project of mine since taking over the Tri-M chair in 2016. The Missouri Tri-M Summit was designed to help Tri-M students across the state come together and communicate about music. The plan was to develop large scale activities for both Music In Our Schools Month and Jazz Appreciation Month. It’s also a time for students to learn about music careers/activities that they may not be exposed to at their school as well as learn how to advocate for music education! The original design was to hold the summit at different universities throughout the state using university personnel and other connections as the clinicians.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One of the biggest factors I have noticed while planning the event over the years was not having a consistent location. Although having the event on university campuses not only saved MMEA in fees for rental space and clinicians it posed the problem of not being in a consistent and central location for the state. Also, attendance was mostly based on what schools were closest to that location instead of bringing in chapters from all across the state. While researching what other states have done for their Tri-M chapters one of the most successful and original models comes from the state of Nebraska which has had a Tri-M event for 20 years. Their event is held in conjunction with their state conference.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I am pleased to say that we are looking into options on how to have the Tri-M Summit in conjunction with an MMEA event and look forward to planning and bringing it back for next school year.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